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A" w:rsidRPr="0001569A" w:rsidRDefault="0001569A" w:rsidP="0001569A">
      <w:pPr>
        <w:shd w:val="clear" w:color="auto" w:fill="FFFFFF"/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</w:rPr>
      </w:pPr>
      <w:r w:rsidRPr="0001569A">
        <w:rPr>
          <w:rFonts w:ascii="Times New Roman" w:eastAsia="Times New Roman" w:hAnsi="Times New Roman" w:cs="Times New Roman"/>
          <w:color w:val="333333"/>
          <w:kern w:val="36"/>
        </w:rPr>
        <w:t>Производственный календарь на 2023 год | 05.01.2023</w:t>
      </w:r>
    </w:p>
    <w:p w:rsidR="0001569A" w:rsidRPr="0001569A" w:rsidRDefault="0001569A" w:rsidP="0001569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01569A">
        <w:rPr>
          <w:rFonts w:ascii="Times New Roman" w:eastAsia="Times New Roman" w:hAnsi="Times New Roman" w:cs="Times New Roman"/>
          <w:color w:val="333333"/>
        </w:rPr>
        <w:t>Автор</w:t>
      </w:r>
      <w:hyperlink r:id="rId5" w:history="1"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>пресс-служба</w:t>
        </w:r>
        <w:proofErr w:type="spellEnd"/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 xml:space="preserve"> Министерства труда и социальной защиты Республики Беларусь</w:t>
        </w:r>
      </w:hyperlink>
    </w:p>
    <w:p w:rsidR="0001569A" w:rsidRPr="0001569A" w:rsidRDefault="0001569A" w:rsidP="0001569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 Количество просмотров62984</w:t>
      </w:r>
    </w:p>
    <w:p w:rsidR="0001569A" w:rsidRPr="0001569A" w:rsidRDefault="0001569A" w:rsidP="00015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 </w:t>
      </w:r>
    </w:p>
    <w:p w:rsidR="0001569A" w:rsidRPr="0001569A" w:rsidRDefault="0001569A" w:rsidP="0001569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01569A">
        <w:rPr>
          <w:rFonts w:ascii="Times New Roman" w:eastAsia="Times New Roman" w:hAnsi="Times New Roman" w:cs="Times New Roman"/>
          <w:color w:val="333333"/>
        </w:rPr>
        <w:t>Автор</w:t>
      </w:r>
      <w:hyperlink r:id="rId6" w:history="1"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>производственный</w:t>
        </w:r>
        <w:proofErr w:type="spellEnd"/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 xml:space="preserve"> календарь,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</w:t>
      </w:r>
      <w:hyperlink r:id="rId7" w:history="1"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>рабочий день,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</w:t>
      </w:r>
      <w:hyperlink r:id="rId8" w:history="1"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>выходной день,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</w:t>
      </w:r>
      <w:hyperlink r:id="rId9" w:history="1">
        <w:r w:rsidRPr="0001569A">
          <w:rPr>
            <w:rFonts w:ascii="Times New Roman" w:eastAsia="Times New Roman" w:hAnsi="Times New Roman" w:cs="Times New Roman"/>
            <w:color w:val="212121"/>
            <w:u w:val="single"/>
          </w:rPr>
          <w:t>праздничные дни</w:t>
        </w:r>
      </w:hyperlink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1. Для пятидневной рабочей недели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7048500" cy="6686550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2. Для шестидневной рабочей недели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noProof/>
          <w:color w:val="333333"/>
        </w:rPr>
        <w:lastRenderedPageBreak/>
        <w:drawing>
          <wp:inline distT="0" distB="0" distL="0" distR="0">
            <wp:extent cx="6829425" cy="5924550"/>
            <wp:effectExtent l="19050" t="0" r="9525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br/>
      </w:r>
    </w:p>
    <w:p w:rsidR="0001569A" w:rsidRPr="0001569A" w:rsidRDefault="0001569A" w:rsidP="0001569A">
      <w:pPr>
        <w:shd w:val="clear" w:color="auto" w:fill="FFFFFF"/>
        <w:spacing w:after="225" w:line="240" w:lineRule="auto"/>
        <w:ind w:firstLine="24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О рабочем времени в 2023 году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Комментарий</w:t>
      </w:r>
      <w:r w:rsidRPr="0001569A">
        <w:rPr>
          <w:rFonts w:ascii="Times New Roman" w:eastAsia="Times New Roman" w:hAnsi="Times New Roman" w:cs="Times New Roman"/>
          <w:color w:val="333333"/>
        </w:rPr>
        <w:br/>
      </w: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к </w:t>
      </w:r>
      <w:hyperlink r:id="rId12" w:tgtFrame="_blank" w:history="1">
        <w:r w:rsidRPr="0001569A">
          <w:rPr>
            <w:rFonts w:ascii="Times New Roman" w:eastAsia="Times New Roman" w:hAnsi="Times New Roman" w:cs="Times New Roman"/>
            <w:b/>
            <w:bCs/>
            <w:color w:val="DF0000"/>
            <w:u w:val="single"/>
          </w:rPr>
          <w:t>постановлению</w:t>
        </w:r>
      </w:hyperlink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Министерства труда и социальной защиты</w:t>
      </w:r>
      <w:r w:rsidRPr="0001569A">
        <w:rPr>
          <w:rFonts w:ascii="Times New Roman" w:eastAsia="Times New Roman" w:hAnsi="Times New Roman" w:cs="Times New Roman"/>
          <w:color w:val="333333"/>
        </w:rPr>
        <w:br/>
      </w: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Республики Беларусь от 2 ноября 2022 года № 67 «Об установлении</w:t>
      </w:r>
      <w:r w:rsidRPr="0001569A">
        <w:rPr>
          <w:rFonts w:ascii="Times New Roman" w:eastAsia="Times New Roman" w:hAnsi="Times New Roman" w:cs="Times New Roman"/>
          <w:color w:val="333333"/>
        </w:rPr>
        <w:br/>
      </w:r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расчетной нормы рабочего времени на 2023 год»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В соответствии со </w:t>
      </w:r>
      <w:hyperlink r:id="rId13" w:anchor="&amp;Article=124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статьей 124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Трудового кодекса Республики Беларусь (далее – ТК) на каждый календарный год Правительством Республики Беларусь или уполномоченным им органом устанавливается расчетная норма рабочего времени каждого календарного года.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Расчетная норма рабочего времени на каждый календарный год устанавливается Министерством труда и социальной защиты на основании Положения о Министерстве труда и социальной защиты Республики Беларусь, утвержденного </w:t>
      </w:r>
      <w:hyperlink r:id="rId14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постановлением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Совета Министров Республики Беларусь от 31 октября 2001 г. № 1589 «Вопросы Министерства труда и социальной защиты Республики Беларусь».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На 2023 год расчетная норма рабочего времени установлена </w:t>
      </w:r>
      <w:hyperlink r:id="rId15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постановлением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Министерства труда и социальной защиты Республики Беларусь от 2 ноября 2022 г. № 67 «Об установлении расчетной нормы рабочего времени на 2023 год» (далее – постановление № 67), согласно которому при полной норме продолжительности рабочего времени на 2023 год она составит:</w:t>
      </w:r>
    </w:p>
    <w:p w:rsidR="0001569A" w:rsidRPr="0001569A" w:rsidRDefault="0001569A" w:rsidP="000156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lastRenderedPageBreak/>
        <w:t>для пятидневной рабочей недели с выходными днями в субботу и воскресенье – 2011 часов;</w:t>
      </w:r>
    </w:p>
    <w:p w:rsidR="0001569A" w:rsidRPr="0001569A" w:rsidRDefault="0001569A" w:rsidP="000156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для шестидневной рабочей недели с выходным днем в воскресенье – 2014 часа.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этом данная расчетная норма рабочего времени установлена исходя из полной нормы продолжительности рабочего времени 40 часов в неделю (</w:t>
      </w:r>
      <w:hyperlink r:id="rId16" w:anchor="&amp;Article=112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статья 112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) для пятидневной рабочей недели с выходными днями в субботу и воскресенье и для шестидневной рабочей недели с выходным днем в воскресенье и рассчитана:</w:t>
      </w:r>
    </w:p>
    <w:p w:rsidR="0001569A" w:rsidRPr="0001569A" w:rsidRDefault="0001569A" w:rsidP="000156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для пятидневной рабочей недели исходя из продолжительности ежедневной работы в рабочие дни 8 часов, а в рабочие дни, непосредственно предшествующие праздничным дням, – 7 часов;</w:t>
      </w:r>
    </w:p>
    <w:p w:rsidR="0001569A" w:rsidRPr="0001569A" w:rsidRDefault="0001569A" w:rsidP="000156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для шестидневной рабочей недели исходя из продолжительности ежедневной работы в рабочие дни с понедельника по пятницу 7 часов, в субботу – 5 часов, а в рабочие дни, непосредственно предшествующие праздничным дням, – 6 и 4 часа соответственно.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Расчетная норма рабочего времени календарного года для пятидневной рабочей недели может рассчитываться следующим образом: продолжительность рабочей недели 40 часов делится на 5, умножается на количество рабочих дней в году, из полученной суммы вычитается количество часов, на которое производится сокращение рабочего времени накануне нерабочих праздничных дней.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В аналогичном порядке может рассчитываться расчетная норма рабочего времени календарного года при иной продолжительности рабочей недели (36, 30, 24 и т.д. часов).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При определении количества рабочих дней из числа календарных дней исключаются выходные дни по календарю пятидневной или шестидневной рабочей недели, а также дни государственных праздников и праздничных дней, которые согласно </w:t>
      </w:r>
      <w:hyperlink r:id="rId17" w:anchor="&amp;Point=3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пункту 3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Указа Президента Республики Беларусь от 26 марта 1998 г. № 157 «О государственных праздниках, праздничных днях и памятных датах в Республике Беларусь» (далее – Указ № 157) объявлены нерабочими днями.</w:t>
      </w:r>
      <w:proofErr w:type="gramEnd"/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В 2023 году 365 календарных дней. Из этого количества дней:</w:t>
      </w:r>
    </w:p>
    <w:p w:rsidR="0001569A" w:rsidRPr="0001569A" w:rsidRDefault="0001569A" w:rsidP="000156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пятидневной рабочей неделе с выходными днями в субботу и воскресенье – 113 нерабочих (выходных и праздничных) дней и 252 рабочих дня (365 – 113),</w:t>
      </w:r>
    </w:p>
    <w:p w:rsidR="0001569A" w:rsidRPr="0001569A" w:rsidRDefault="0001569A" w:rsidP="000156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шестидневной рабочей неделе – 62 нерабочих (выходных и праздничных) дня и 303 рабочих дня (365 – 62).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Например. Норма рабочего времени при пятидневной рабочей неделе в 2023 г. составит </w:t>
      </w:r>
      <w:proofErr w:type="gram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при</w:t>
      </w:r>
      <w:proofErr w:type="gram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:</w:t>
      </w:r>
    </w:p>
    <w:p w:rsidR="0001569A" w:rsidRPr="0001569A" w:rsidRDefault="0001569A" w:rsidP="000156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40 - часовой рабочей неделе – 2011 часов (8 часов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252 дня – 5 часов);</w:t>
      </w:r>
    </w:p>
    <w:p w:rsidR="0001569A" w:rsidRPr="0001569A" w:rsidRDefault="0001569A" w:rsidP="000156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36 - часовой рабочей неделе – 1809,4 часа (7,2 часа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252 дня – 5 часов);</w:t>
      </w:r>
    </w:p>
    <w:p w:rsidR="0001569A" w:rsidRPr="0001569A" w:rsidRDefault="0001569A" w:rsidP="000156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35 - часовой рабочей неделе – 1759 часов (7 часов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252 дня – 5 часов);</w:t>
      </w:r>
    </w:p>
    <w:p w:rsidR="0001569A" w:rsidRPr="0001569A" w:rsidRDefault="0001569A" w:rsidP="000156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24 - часовой рабочей неделе – 1204,6 часа (4,8 часа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252 дня – 5 часов).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Среднемесячное количество рабочих дней в 2023 году составит при пятидневной рабочей неделе с выходными днями в субботу и воскресенье 21 день (252/12), при шестидневной рабочей неделе с выходным днем в воскресенье – 25,3 дня (303/12).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В аналогичном порядке может рассчитываться расчетная норма рабочего времени при пятидневной рабочей неделе каждого конкретного месяца: продолжительность рабочей недели (40, 36, 30, 24 и т. д. часов) делится на 5, умножается на количество рабочих дней по календарю пятидневной рабочей недели конкретного месяца и из полученной суммы вычитается количество часов в данном месяце, на которое производится сокращение рабочего времени накануне нерабочих</w:t>
      </w:r>
      <w:proofErr w:type="gramEnd"/>
      <w:r w:rsidRPr="0001569A">
        <w:rPr>
          <w:rFonts w:ascii="Times New Roman" w:eastAsia="Times New Roman" w:hAnsi="Times New Roman" w:cs="Times New Roman"/>
          <w:color w:val="333333"/>
        </w:rPr>
        <w:t xml:space="preserve"> праздничных дней (</w:t>
      </w:r>
      <w:hyperlink r:id="rId18" w:anchor="&amp;Article=116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статья 116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Например. В январе 2023 г. при пятидневной рабочей неделе с двумя выходными днями в субботу и воскресенье будет 21 рабочий день и один предпраздничный день.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Расчетная норма рабочего времени в январе 2023 г. составит:</w:t>
      </w:r>
    </w:p>
    <w:p w:rsidR="0001569A" w:rsidRPr="0001569A" w:rsidRDefault="0001569A" w:rsidP="000156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40 - часовой рабочей неделе – 167 часов (8 часов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21 день – 1 час);</w:t>
      </w:r>
    </w:p>
    <w:p w:rsidR="0001569A" w:rsidRPr="0001569A" w:rsidRDefault="0001569A" w:rsidP="000156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при 35 - часовой рабочей неделе – 146 часов (7 часов </w:t>
      </w:r>
      <w:proofErr w:type="spellStart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х</w:t>
      </w:r>
      <w:proofErr w:type="spellEnd"/>
      <w:r w:rsidRPr="0001569A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 xml:space="preserve"> 21 день– 1 час).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Нормами </w:t>
      </w:r>
      <w:hyperlink r:id="rId19" w:anchor="&amp;Article=124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статьи 124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предусмотрено, что 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года, устанавливаемой Министерством труда и социальной защиты. В связи с этим расчетная норма рабочего времени календарного года, устанавливаемая Министерством труда и социальной защиты, подлежит обязательному применению для таких режимов рабочего времени.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установлении в организации иного режима работы нанимателю следует самостоятельно рассчитывать расчетную норму рабочего времени календарного года с соблюдением норм, установленных в </w:t>
      </w:r>
      <w:hyperlink r:id="rId20" w:anchor="&amp;Chapter=10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главе 10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 xml:space="preserve">. В таком случае расчетная норма рабочего времени, установленная в </w:t>
      </w:r>
      <w:r w:rsidRPr="0001569A">
        <w:rPr>
          <w:rFonts w:ascii="Times New Roman" w:eastAsia="Times New Roman" w:hAnsi="Times New Roman" w:cs="Times New Roman"/>
          <w:color w:val="333333"/>
        </w:rPr>
        <w:lastRenderedPageBreak/>
        <w:t>организации, может отличаться от расчетной нормы рабочего времени, установленной Министерством труда и социальной защиты.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этом законодательство о труде не запрещает нанимателю использовать количество рабочих часов, определенное расчетной нормой рабочего времени календарного года, устанавливаемой Министерством труда и социальной защиты. В таком случае наниматель самостоятельно определяет продолжительность ежедневной работы (рабочих смен) в течение календарного года с учетом норм </w:t>
      </w:r>
      <w:hyperlink r:id="rId21" w:anchor="&amp;Chapter=10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главы 10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Необходимо учитывать, что в случаях, когда работники в течение календарного года либо в отдельные его периоды освобождались от работы в соответствии с законодательством (в случаях временной нетрудоспособности, трудовым и иными отпусками, выполнением государственных обязанностей и иных случаях, предусмотренных законодательством), то для них наниматель пересчитывает норму рабочего времени. Так, из расчетной нормы рабочего времени работника исключается время, приходящееся на время его отсутствия в соответствии с законодательством, которое приходится на дни (часы) согласно утвержденного ему графика работы (сменности), правилам внутреннего трудового распорядка.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Из 10 нерабочих праздничных дней 9 отмечаются в дни, установленные </w:t>
      </w:r>
      <w:hyperlink r:id="rId22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Указом № 157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 xml:space="preserve">, а праздничный день Радуница отмечается по календарю православной </w:t>
      </w:r>
      <w:proofErr w:type="spellStart"/>
      <w:r w:rsidRPr="0001569A">
        <w:rPr>
          <w:rFonts w:ascii="Times New Roman" w:eastAsia="Times New Roman" w:hAnsi="Times New Roman" w:cs="Times New Roman"/>
          <w:color w:val="333333"/>
        </w:rPr>
        <w:t>конфессии</w:t>
      </w:r>
      <w:proofErr w:type="spellEnd"/>
      <w:r w:rsidRPr="0001569A">
        <w:rPr>
          <w:rFonts w:ascii="Times New Roman" w:eastAsia="Times New Roman" w:hAnsi="Times New Roman" w:cs="Times New Roman"/>
          <w:color w:val="333333"/>
        </w:rPr>
        <w:t xml:space="preserve"> в текущем году.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В 2023 году нерабочими праздничными днями будут: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1 и 2 января – Новый год;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7 января – Рождество Христово (православное Рождество);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8 марта – День женщин;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 xml:space="preserve">25 апреля – Радуница (по календарю православной </w:t>
      </w:r>
      <w:proofErr w:type="spellStart"/>
      <w:r w:rsidRPr="0001569A">
        <w:rPr>
          <w:rFonts w:ascii="Times New Roman" w:eastAsia="Times New Roman" w:hAnsi="Times New Roman" w:cs="Times New Roman"/>
          <w:color w:val="333333"/>
        </w:rPr>
        <w:t>конфессии</w:t>
      </w:r>
      <w:proofErr w:type="spellEnd"/>
      <w:r w:rsidRPr="0001569A">
        <w:rPr>
          <w:rFonts w:ascii="Times New Roman" w:eastAsia="Times New Roman" w:hAnsi="Times New Roman" w:cs="Times New Roman"/>
          <w:color w:val="333333"/>
        </w:rPr>
        <w:t>);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1 мая – Праздник труда;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9 мая – День Победы;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3 июля – День Независимости Республики Беларусь (День Республики);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7 ноября – День Октябрьской революции;</w:t>
      </w:r>
    </w:p>
    <w:p w:rsidR="0001569A" w:rsidRPr="0001569A" w:rsidRDefault="0001569A" w:rsidP="000156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25 декабря – Рождество Христово (католическое Рождество).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В соответствии со </w:t>
      </w:r>
      <w:hyperlink r:id="rId23" w:anchor="&amp;Article=69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статьей 69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за каждый час работы в государственные праздники, праздничные (часть первая </w:t>
      </w:r>
      <w:hyperlink r:id="rId24" w:anchor="&amp;Article=147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статьи 147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) и выходные дни сверх заработной платы, начисленной за указанное время, производится доплата: работникам со сдельной оплатой труда – не ниже сдельных расценок; работникам с повременной оплатой труда – не ниже часовых тарифных ставок (тарифных окладов), окладов.</w:t>
      </w:r>
      <w:proofErr w:type="gramEnd"/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Конкретный размер доплаты в бюджетных организациях и иных организациях, получающих субсидии, работники которых приравнены по оплате труда к работникам бюджетных организаций, устанавливается Правительством Республики Беларусь, в иных организациях – трудовым договором и (или) локальным правовым актом.</w:t>
      </w:r>
    </w:p>
    <w:p w:rsidR="0001569A" w:rsidRPr="0001569A" w:rsidRDefault="0001569A" w:rsidP="0001569A">
      <w:pPr>
        <w:shd w:val="clear" w:color="auto" w:fill="F6F4F4"/>
        <w:spacing w:after="0" w:line="28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Справочно</w:t>
      </w:r>
      <w:proofErr w:type="spellEnd"/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.</w:t>
      </w:r>
    </w:p>
    <w:p w:rsidR="0001569A" w:rsidRPr="0001569A" w:rsidRDefault="0001569A" w:rsidP="0001569A">
      <w:pPr>
        <w:shd w:val="clear" w:color="auto" w:fill="F6F4F4"/>
        <w:spacing w:after="0" w:line="28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В соответствии с </w:t>
      </w:r>
      <w:hyperlink r:id="rId25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постановлением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Совета Министров Республики Беларусь от 16 июня 2014 г. № 583 размер доплаты в бюджетных организациях и иных организациях, получающих субсидии, работники которых приравнены по оплате труда к работникам бюджетных организаций, производится за каждый час работы в сверхурочное время, государственные праздники, праздничные и выходные дни сверх заработной платы, начисленной за указанное время:</w:t>
      </w:r>
      <w:proofErr w:type="gramEnd"/>
    </w:p>
    <w:p w:rsidR="0001569A" w:rsidRPr="0001569A" w:rsidRDefault="0001569A" w:rsidP="0001569A">
      <w:pPr>
        <w:numPr>
          <w:ilvl w:val="0"/>
          <w:numId w:val="7"/>
        </w:numPr>
        <w:shd w:val="clear" w:color="auto" w:fill="F6F4F4"/>
        <w:spacing w:after="0" w:line="28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с повременной оплатой труда – в размере часового оклада работника;</w:t>
      </w:r>
    </w:p>
    <w:p w:rsidR="0001569A" w:rsidRPr="0001569A" w:rsidRDefault="0001569A" w:rsidP="0001569A">
      <w:pPr>
        <w:numPr>
          <w:ilvl w:val="0"/>
          <w:numId w:val="7"/>
        </w:numPr>
        <w:shd w:val="clear" w:color="auto" w:fill="F6F4F4"/>
        <w:spacing w:after="0" w:line="288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со сдельной оплатой труда – в размере сдельной расценки выполненной работы.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За работу в сверхурочное время и выходные дни взамен доплаты с согласия работника может предоставляться другой неоплачиваемый день отдыха. При этом за часы работы в сверхурочное время один неоплачиваемый день отдыха предоставляется из расчета 8-ми часового рабочего дня (один день отдыха за 8 часов работы в сверхурочное время).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Если работа в государственные праздники и праздничные дни выполнялась сверх месячной нормы рабочего времени, работнику, по его желанию, помимо доплаты может предоставляться другой неоплачиваемый день отдыха.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Обращаем внимание, что обязательным условием для привлечения работника к работе в выходной день является наличие приказа (распоряжения) нанимателя, в котором оговариваются все условия привлечения его к работе в выходной день. Порядок привлечения к работе в выходной день и его оформление определены </w:t>
      </w:r>
      <w:hyperlink r:id="rId26" w:anchor="&amp;Article=142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статьями 142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, </w:t>
      </w:r>
      <w:hyperlink r:id="rId27" w:anchor="&amp;Article=143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143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и </w:t>
      </w:r>
      <w:hyperlink r:id="rId28" w:anchor="&amp;Article=145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145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lastRenderedPageBreak/>
        <w:t>В соответствии со </w:t>
      </w:r>
      <w:hyperlink r:id="rId29" w:anchor="&amp;Article=116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статьей 116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продолжительность рабочего времени в рабочий день, непосредственно предшествующий государственному празднику или праздничному дню (далее – предпраздничные дни), которые объявлены </w:t>
      </w:r>
      <w:hyperlink r:id="rId30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Указом № 157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нерабочими днями, сокращается на один час.</w:t>
      </w:r>
    </w:p>
    <w:p w:rsidR="0001569A" w:rsidRPr="0001569A" w:rsidRDefault="0001569A" w:rsidP="0001569A">
      <w:pPr>
        <w:shd w:val="clear" w:color="auto" w:fill="F6F4F4"/>
        <w:spacing w:after="0" w:line="28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Справочно</w:t>
      </w:r>
      <w:proofErr w:type="spellEnd"/>
      <w:r w:rsidRPr="0001569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.</w:t>
      </w:r>
    </w:p>
    <w:p w:rsidR="0001569A" w:rsidRPr="0001569A" w:rsidRDefault="0001569A" w:rsidP="0001569A">
      <w:pPr>
        <w:shd w:val="clear" w:color="auto" w:fill="F6F4F4"/>
        <w:spacing w:after="0" w:line="28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пятидневной рабочей неделе предпраздничными рабочими днями являются 6 января, 7 марта, 24 апреля, 8 мая, 6 ноября.</w:t>
      </w:r>
    </w:p>
    <w:p w:rsidR="0001569A" w:rsidRPr="0001569A" w:rsidRDefault="0001569A" w:rsidP="0001569A">
      <w:pPr>
        <w:shd w:val="clear" w:color="auto" w:fill="F6F4F4"/>
        <w:spacing w:after="0" w:line="288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шестидневной рабочей неделе – 6 января, 7 марта, 24 апреля, 8 мая и 6 ноября.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Данная норма (</w:t>
      </w:r>
      <w:hyperlink r:id="rId31" w:anchor="&amp;Article=116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статья 116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) распространяется на всех работников независимо от установленной для них продолжительности рабочего времени и не содержит исключения для каких-либо категорий работников, в том числе, для работающих по совместительству, для работников, которым установлена сокращенная продолжительность рабочего времени либо неполное рабочее время.</w:t>
      </w:r>
      <w:proofErr w:type="gramEnd"/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Профессиональные праздники (например, День юриста, День учителя, День банковских и финансовых работников, День работников физической культуры и спорта и т.д.) в соответствии с </w:t>
      </w:r>
      <w:hyperlink r:id="rId32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Указом № 157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не являются нерабочими праздничными днями, и на них норма об уменьшении рабочего времени на один час в предпраздничный день не распространяется.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Кроме того, рабочее время не сокращается, если государственному празднику или праздничному дню, которые объявлены </w:t>
      </w:r>
      <w:hyperlink r:id="rId33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Указом № 157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нерабочими днями, предшествует выходной день (по календарю или графику работ (сменности)).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01569A">
        <w:rPr>
          <w:rFonts w:ascii="Times New Roman" w:eastAsia="Times New Roman" w:hAnsi="Times New Roman" w:cs="Times New Roman"/>
          <w:color w:val="333333"/>
        </w:rPr>
        <w:t>Если по условиям производства сокращение продолжительности рабочего времени в соответствии с частью второй </w:t>
      </w:r>
      <w:hyperlink r:id="rId34" w:anchor="&amp;Article=116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статьи 116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невозможно, то переработка компенсируется по соглашению сторон предоставлением дополнительного дня отдыха, оплачиваемого в одинарном размере, по мере накопления этих часов, или повышенной их оплатой в размере, установленном для оплаты сверхурочной работы в соответствии со </w:t>
      </w:r>
      <w:hyperlink r:id="rId35" w:anchor="&amp;Article=69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статьей 69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При составлении графиков работ (сменности) следует учитывать, что в соответствии со </w:t>
      </w:r>
      <w:hyperlink r:id="rId36" w:anchor="&amp;Article=147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статьей 147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 работа не производится в государственные праздники или праздничные дни, установленные и объявленные Президентом Республики Беларусь нерабочими.</w:t>
      </w:r>
    </w:p>
    <w:p w:rsidR="0001569A" w:rsidRPr="0001569A" w:rsidRDefault="0001569A" w:rsidP="0001569A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01569A">
        <w:rPr>
          <w:rFonts w:ascii="Times New Roman" w:eastAsia="Times New Roman" w:hAnsi="Times New Roman" w:cs="Times New Roman"/>
          <w:color w:val="333333"/>
        </w:rPr>
        <w:t>В государственные праздники или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непрерывного обслуживания населения, организаций, а также неотложные ремонтные и погрузочно-разгрузочные работы (часть вторая </w:t>
      </w:r>
      <w:hyperlink r:id="rId37" w:anchor="&amp;Article=147" w:tgtFrame="_blank" w:history="1">
        <w:r w:rsidRPr="0001569A">
          <w:rPr>
            <w:rFonts w:ascii="Times New Roman" w:eastAsia="Times New Roman" w:hAnsi="Times New Roman" w:cs="Times New Roman"/>
            <w:color w:val="DF0000"/>
            <w:u w:val="single"/>
          </w:rPr>
          <w:t>статьи 147 ТК</w:t>
        </w:r>
      </w:hyperlink>
      <w:r w:rsidRPr="0001569A">
        <w:rPr>
          <w:rFonts w:ascii="Times New Roman" w:eastAsia="Times New Roman" w:hAnsi="Times New Roman" w:cs="Times New Roman"/>
          <w:color w:val="333333"/>
        </w:rPr>
        <w:t>). При этом такие работы планируются заранее в графике работ (сменности) в счет месячной нормы рабочего времени.</w:t>
      </w:r>
    </w:p>
    <w:p w:rsidR="00940C0F" w:rsidRPr="0001569A" w:rsidRDefault="00940C0F" w:rsidP="0001569A">
      <w:pPr>
        <w:jc w:val="both"/>
        <w:rPr>
          <w:rFonts w:ascii="Times New Roman" w:hAnsi="Times New Roman" w:cs="Times New Roman"/>
        </w:rPr>
      </w:pPr>
    </w:p>
    <w:sectPr w:rsidR="00940C0F" w:rsidRPr="000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699"/>
    <w:multiLevelType w:val="multilevel"/>
    <w:tmpl w:val="979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85053"/>
    <w:multiLevelType w:val="multilevel"/>
    <w:tmpl w:val="76EA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615DAA"/>
    <w:multiLevelType w:val="multilevel"/>
    <w:tmpl w:val="F83C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549EB"/>
    <w:multiLevelType w:val="multilevel"/>
    <w:tmpl w:val="E20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A29D0"/>
    <w:multiLevelType w:val="multilevel"/>
    <w:tmpl w:val="8C0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7C7C2F"/>
    <w:multiLevelType w:val="multilevel"/>
    <w:tmpl w:val="092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F81F22"/>
    <w:multiLevelType w:val="multilevel"/>
    <w:tmpl w:val="1F9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9A"/>
    <w:rsid w:val="0001569A"/>
    <w:rsid w:val="009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5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56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a0"/>
    <w:rsid w:val="0001569A"/>
  </w:style>
  <w:style w:type="character" w:styleId="a3">
    <w:name w:val="Hyperlink"/>
    <w:basedOn w:val="a0"/>
    <w:uiPriority w:val="99"/>
    <w:semiHidden/>
    <w:unhideWhenUsed/>
    <w:rsid w:val="00015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70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68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35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739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36" w:space="31" w:color="B8B3B3"/>
                    <w:bottom w:val="none" w:sz="0" w:space="15" w:color="auto"/>
                    <w:right w:val="none" w:sz="0" w:space="15" w:color="auto"/>
                  </w:divBdr>
                </w:div>
                <w:div w:id="124449210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36" w:space="31" w:color="B8B3B3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rud.by/search/?tags=%20%D0%B2%D1%8B%D1%85%D0%BE%D0%B4%D0%BD%D0%BE%D0%B9%20%D0%B4%D0%B5%D0%BD%D1%8C" TargetMode="External"/><Relationship Id="rId13" Type="http://schemas.openxmlformats.org/officeDocument/2006/relationships/hyperlink" Target="https://protrud.by/bitrix/openurl/?destination=https://etalonline.by/document/?regnum=hk9900296" TargetMode="External"/><Relationship Id="rId18" Type="http://schemas.openxmlformats.org/officeDocument/2006/relationships/hyperlink" Target="https://protrud.by/bitrix/openurl/?destination=https://etalonline.by/document/?regnum=hk9900296" TargetMode="External"/><Relationship Id="rId26" Type="http://schemas.openxmlformats.org/officeDocument/2006/relationships/hyperlink" Target="https://protrud.by/bitrix/openurl/?destination=https://etalonline.by/document/?regnum=hk990029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trud.by/bitrix/openurl/?destination=https://etalonline.by/document/?regnum=hk9900296" TargetMode="External"/><Relationship Id="rId34" Type="http://schemas.openxmlformats.org/officeDocument/2006/relationships/hyperlink" Target="https://protrud.by/bitrix/openurl/?destination=https://etalonline.by/document/?regnum=hk9900296" TargetMode="External"/><Relationship Id="rId7" Type="http://schemas.openxmlformats.org/officeDocument/2006/relationships/hyperlink" Target="https://protrud.by/search/?tags=%20%D1%80%D0%B0%D0%B1%D0%BE%D1%87%D0%B8%D0%B9%20%D0%B4%D0%B5%D0%BD%D1%8C" TargetMode="External"/><Relationship Id="rId12" Type="http://schemas.openxmlformats.org/officeDocument/2006/relationships/hyperlink" Target="https://protrud.by/bitrix/openurl/?destination=https://etalonline.by/document/?regnum=w22239005" TargetMode="External"/><Relationship Id="rId17" Type="http://schemas.openxmlformats.org/officeDocument/2006/relationships/hyperlink" Target="https://protrud.by/bitrix/openurl/?destination=https://etalonline.by/document/?regnum=p39800157" TargetMode="External"/><Relationship Id="rId25" Type="http://schemas.openxmlformats.org/officeDocument/2006/relationships/hyperlink" Target="https://protrud.by/bitrix/openurl/?destination=https://etalonline.by/document/?regnum=c21400583" TargetMode="External"/><Relationship Id="rId33" Type="http://schemas.openxmlformats.org/officeDocument/2006/relationships/hyperlink" Target="https://protrud.by/bitrix/openurl/?destination=https://etalonline.by/document/?regnum=p3980015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trud.by/bitrix/openurl/?destination=https://etalonline.by/document/?regnum=hk9900296" TargetMode="External"/><Relationship Id="rId20" Type="http://schemas.openxmlformats.org/officeDocument/2006/relationships/hyperlink" Target="https://protrud.by/bitrix/openurl/?destination=https://etalonline.by/document/?regnum=hk9900296" TargetMode="External"/><Relationship Id="rId29" Type="http://schemas.openxmlformats.org/officeDocument/2006/relationships/hyperlink" Target="https://protrud.by/bitrix/openurl/?destination=https://etalonline.by/document/?regnum=hk99002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rud.by/search/?tags=%D0%BF%D1%80%D0%BE%D0%B8%D0%B7%D0%B2%D0%BE%D0%B4%D1%81%D1%82%D0%B2%D0%B5%D0%BD%D0%BD%D1%8B%D0%B9%20%D0%BA%D0%B0%D0%BB%D0%B5%D0%BD%D0%B4%D0%B0%D1%80%D1%8C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protrud.by/bitrix/openurl/?destination=https://etalonline.by/document/?regnum=hk9900296" TargetMode="External"/><Relationship Id="rId32" Type="http://schemas.openxmlformats.org/officeDocument/2006/relationships/hyperlink" Target="https://protrud.by/bitrix/openurl/?destination=https://etalonline.by/document/?regnum=p39800157" TargetMode="External"/><Relationship Id="rId37" Type="http://schemas.openxmlformats.org/officeDocument/2006/relationships/hyperlink" Target="https://protrud.by/bitrix/openurl/?destination=https://etalonline.by/document/?regnum=hk9900296" TargetMode="External"/><Relationship Id="rId5" Type="http://schemas.openxmlformats.org/officeDocument/2006/relationships/hyperlink" Target="https://protrud.by/articles/?author=149620&amp;n=%D0%BF%D1%80%D0%B5%D1%81%D1%81-%D1%81%D0%BB%D1%83%D0%B6%D0%B1%D0%B0%20%D0%9C%D0%B8%D0%BD%D0%B8%D1%81%D1%82%D0%B5%D1%80%D1%81%D1%82%D0%B2%D0%B0%20%D1%82%D1%80%D1%83%D0%B4%D0%B0%20%D0%B8%20%D1%81%D0%BE%D1%86%D0%B8%D0%B0%D0%BB%D1%8C%D0%BD%D0%BE%D0%B9%20%D0%B7%D0%B0%D1%89%D0%B8%D1%82%D1%8B%20%D0%A0%D0%B5%D1%81%D0%BF%D1%83%D0%B1%D0%BB%D0%B8%D0%BA%D0%B8%20%D0%91%D0%B5%D0%BB%D0%B0%D1%80%D1%83%D1%81%D1%8C" TargetMode="External"/><Relationship Id="rId15" Type="http://schemas.openxmlformats.org/officeDocument/2006/relationships/hyperlink" Target="https://protrud.by/bitrix/openurl/?destination=https://etalonline.by/document/?regnum=w22239005" TargetMode="External"/><Relationship Id="rId23" Type="http://schemas.openxmlformats.org/officeDocument/2006/relationships/hyperlink" Target="https://protrud.by/bitrix/openurl/?destination=https://etalonline.by/document/?regnum=hk9900296" TargetMode="External"/><Relationship Id="rId28" Type="http://schemas.openxmlformats.org/officeDocument/2006/relationships/hyperlink" Target="https://protrud.by/bitrix/openurl/?destination=https://etalonline.by/document/?regnum=hk9900296" TargetMode="External"/><Relationship Id="rId36" Type="http://schemas.openxmlformats.org/officeDocument/2006/relationships/hyperlink" Target="https://protrud.by/bitrix/openurl/?destination=https://etalonline.by/document/?regnum=hk990029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rotrud.by/bitrix/openurl/?destination=https://etalonline.by/document/?regnum=hk9900296" TargetMode="External"/><Relationship Id="rId31" Type="http://schemas.openxmlformats.org/officeDocument/2006/relationships/hyperlink" Target="https://protrud.by/bitrix/openurl/?destination=https://etalonline.by/document/?regnum=hk9900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rud.by/search/?tags=%20%D0%BF%D1%80%D0%B0%D0%B7%D0%B4%D0%BD%D0%B8%D1%87%D0%BD%D1%8B%D0%B5%20%D0%B4%D0%BD%D0%B8" TargetMode="External"/><Relationship Id="rId14" Type="http://schemas.openxmlformats.org/officeDocument/2006/relationships/hyperlink" Target="https://protrud.by/bitrix/openurl/?destination=https://etalonline.by/document/?regnum=c20101589" TargetMode="External"/><Relationship Id="rId22" Type="http://schemas.openxmlformats.org/officeDocument/2006/relationships/hyperlink" Target="https://protrud.by/bitrix/openurl/?destination=https://etalonline.by/document/?regnum=p39800157" TargetMode="External"/><Relationship Id="rId27" Type="http://schemas.openxmlformats.org/officeDocument/2006/relationships/hyperlink" Target="https://protrud.by/bitrix/openurl/?destination=https://etalonline.by/document/?regnum=hk9900296" TargetMode="External"/><Relationship Id="rId30" Type="http://schemas.openxmlformats.org/officeDocument/2006/relationships/hyperlink" Target="https://protrud.by/bitrix/openurl/?destination=https://etalonline.by/document/?regnum=p39800157" TargetMode="External"/><Relationship Id="rId35" Type="http://schemas.openxmlformats.org/officeDocument/2006/relationships/hyperlink" Target="https://protrud.by/bitrix/openurl/?destination=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14315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2023-03-06T07:30:00Z</dcterms:created>
  <dcterms:modified xsi:type="dcterms:W3CDTF">2023-03-06T07:32:00Z</dcterms:modified>
</cp:coreProperties>
</file>